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C" w:rsidRDefault="00185F8C" w:rsidP="00185F8C">
      <w:pPr>
        <w:shd w:val="clear" w:color="auto" w:fill="FFFFFF"/>
        <w:spacing w:after="150" w:line="480" w:lineRule="atLeast"/>
        <w:outlineLvl w:val="1"/>
        <w:rPr>
          <w:rFonts w:ascii="Source Serif Pro" w:eastAsia="Times New Roman" w:hAnsi="Source Serif Pro" w:cs="Times New Roman"/>
          <w:b/>
          <w:bCs/>
          <w:color w:val="000000"/>
          <w:sz w:val="42"/>
          <w:szCs w:val="42"/>
          <w:lang w:eastAsia="es-ES"/>
        </w:rPr>
      </w:pPr>
      <w:r>
        <w:rPr>
          <w:rFonts w:ascii="Source Serif Pro" w:eastAsia="Times New Roman" w:hAnsi="Source Serif Pro" w:cs="Times New Roman"/>
          <w:b/>
          <w:bCs/>
          <w:noProof/>
          <w:color w:val="000000"/>
          <w:sz w:val="42"/>
          <w:szCs w:val="42"/>
          <w:lang w:eastAsia="es-ES"/>
        </w:rPr>
        <w:drawing>
          <wp:inline distT="0" distB="0" distL="0" distR="0">
            <wp:extent cx="5400040" cy="1890014"/>
            <wp:effectExtent l="19050" t="0" r="0" b="0"/>
            <wp:docPr id="1" name="Imagen 1" descr="C:\Users\UsuarioHP\Pictures\w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HP\Pictures\wil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8C" w:rsidRDefault="00185F8C" w:rsidP="00185F8C">
      <w:pPr>
        <w:shd w:val="clear" w:color="auto" w:fill="FFFFFF"/>
        <w:spacing w:after="150" w:line="480" w:lineRule="atLeast"/>
        <w:outlineLvl w:val="1"/>
        <w:rPr>
          <w:rFonts w:ascii="Source Serif Pro" w:eastAsia="Times New Roman" w:hAnsi="Source Serif Pro" w:cs="Times New Roman"/>
          <w:b/>
          <w:bCs/>
          <w:color w:val="000000"/>
          <w:sz w:val="42"/>
          <w:szCs w:val="42"/>
          <w:lang w:eastAsia="es-ES"/>
        </w:rPr>
      </w:pPr>
      <w:r w:rsidRPr="00185F8C">
        <w:rPr>
          <w:rFonts w:ascii="Source Serif Pro" w:eastAsia="Times New Roman" w:hAnsi="Source Serif Pro" w:cs="Times New Roman"/>
          <w:b/>
          <w:bCs/>
          <w:color w:val="000000"/>
          <w:sz w:val="42"/>
          <w:szCs w:val="42"/>
          <w:lang w:eastAsia="es-ES"/>
        </w:rPr>
        <w:t>Ayude a sus investigadores a publicar más en acceso abierto (open access)</w:t>
      </w:r>
    </w:p>
    <w:tbl>
      <w:tblPr>
        <w:tblW w:w="0" w:type="auto"/>
        <w:shd w:val="clear" w:color="auto" w:fill="EEEEEF"/>
        <w:tblCellMar>
          <w:left w:w="0" w:type="dxa"/>
          <w:right w:w="0" w:type="dxa"/>
        </w:tblCellMar>
        <w:tblLook w:val="04A0"/>
      </w:tblPr>
      <w:tblGrid>
        <w:gridCol w:w="8504"/>
      </w:tblGrid>
      <w:tr w:rsidR="00185F8C" w:rsidRPr="00185F8C" w:rsidTr="00185F8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85F8C" w:rsidRPr="00185F8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185F8C" w:rsidRPr="00185F8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4"/>
                        </w:tblGrid>
                        <w:tr w:rsidR="00185F8C" w:rsidRPr="00185F8C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Como ya sabrá, Wiley concluyó recientemente las negociaciones con Crue-CSIC para </w:t>
                              </w:r>
                              <w:hyperlink r:id="rId5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un acuerdo de lectura y publicación</w:t>
                                </w:r>
                              </w:hyperlink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, inicialmente de un año de duración como parte de una colaboración más amplia, que tiene como finalidad impulsar el aumento de las publicaciones en acceso abierto en las universidades e instituciones de investigación de España.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Por una tarifa anual, este acuerdo permitirá a las </w:t>
                              </w:r>
                              <w:hyperlink r:id="rId6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instituciones españolas participantes</w:t>
                                </w:r>
                              </w:hyperlink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 acceder a las publicaciones de suscripción de Wiley y publicar artículos aceptados de acceso abierto en las publicaciones híbridas de Wiley. La estructura de este acuerdo facilita una transición significativa hacia la publicación de acceso abierto.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Esta es una excelente noticia para los investigadores de su institución que deseen cumplir con los mandatos de financiadores y poner sus trabajos a disposición de todo aquel que necesite leerlos, citarlos y compartirlos, sin ningún coste directo para ellos.</w:t>
                              </w:r>
                            </w:p>
                          </w:tc>
                        </w:tr>
                      </w:tbl>
                      <w:p w:rsidR="00185F8C" w:rsidRPr="00185F8C" w:rsidRDefault="00185F8C" w:rsidP="00185F8C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5F8C" w:rsidRPr="00185F8C" w:rsidRDefault="00185F8C" w:rsidP="00185F8C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5F8C" w:rsidRPr="00185F8C" w:rsidRDefault="00185F8C" w:rsidP="00185F8C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</w:tbl>
    <w:p w:rsidR="00185F8C" w:rsidRPr="00185F8C" w:rsidRDefault="00185F8C" w:rsidP="00185F8C">
      <w:pPr>
        <w:shd w:val="clear" w:color="auto" w:fill="EEEEE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s-ES"/>
        </w:rPr>
      </w:pPr>
      <w:r w:rsidRPr="00185F8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tbl>
      <w:tblPr>
        <w:tblW w:w="0" w:type="auto"/>
        <w:shd w:val="clear" w:color="auto" w:fill="EEEEEF"/>
        <w:tblCellMar>
          <w:left w:w="0" w:type="dxa"/>
          <w:right w:w="0" w:type="dxa"/>
        </w:tblCellMar>
        <w:tblLook w:val="04A0"/>
      </w:tblPr>
      <w:tblGrid>
        <w:gridCol w:w="8504"/>
      </w:tblGrid>
      <w:tr w:rsidR="00185F8C" w:rsidRPr="00185F8C" w:rsidTr="00185F8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85F8C" w:rsidRPr="00185F8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185F8C" w:rsidRPr="00185F8C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04"/>
                        </w:tblGrid>
                        <w:tr w:rsidR="00185F8C" w:rsidRPr="00185F8C">
                          <w:tc>
                            <w:tcPr>
                              <w:tcW w:w="0" w:type="auto"/>
                              <w:tcBorders>
                                <w:top w:val="single" w:sz="36" w:space="0" w:color="EEEEEF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lang w:eastAsia="es-ES"/>
                                </w:rPr>
                                <w:t>Familiarícese con el proceso de acceso abierto y dé a conocer el acuerdo entre sus investigadores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Recursos para ayudar a promocionar el acceso abierto entre sus investigadores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Comparta este </w:t>
                              </w:r>
                              <w:hyperlink r:id="rId7" w:tgtFrame="_blank" w:tooltip="breve vídeo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breve vídeo</w:t>
                                </w:r>
                              </w:hyperlink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 en el sitio web de su propia biblioteca para dar a conocer el acceso abierto en su institución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Proporcione esta </w:t>
                              </w:r>
                              <w:hyperlink r:id="rId8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breve guía práctica</w:t>
                                </w:r>
                              </w:hyperlink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 sobre el acceso abierto a su comunidad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lastRenderedPageBreak/>
                                <w:t>Promocione el acuerdo de Wiley Open Access entre sus redes sociales con estas </w:t>
                              </w:r>
                              <w:hyperlink r:id="rId9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publicaciones preparadas para redes sociales</w:t>
                                </w:r>
                              </w:hyperlink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Utilice esta </w:t>
                              </w:r>
                              <w:hyperlink r:id="rId10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sencilla plantilla</w:t>
                                </w:r>
                              </w:hyperlink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 para dar a conocer el acuerdo por correo electrónico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Visite el </w:t>
                              </w:r>
                              <w:hyperlink r:id="rId11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Centro de información para bibliotecas sobre Wiley Open Access</w:t>
                                </w:r>
                              </w:hyperlink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 si necesita guías de formación, recursos o plantillas de marketing adicionales</w:t>
                              </w:r>
                            </w:p>
                          </w:tc>
                        </w:tr>
                        <w:tr w:rsidR="00185F8C" w:rsidRPr="00185F8C">
                          <w:tc>
                            <w:tcPr>
                              <w:tcW w:w="0" w:type="auto"/>
                              <w:tcBorders>
                                <w:top w:val="single" w:sz="36" w:space="0" w:color="EEEEEF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lang w:eastAsia="es-ES"/>
                                </w:rPr>
                                <w:lastRenderedPageBreak/>
                                <w:t>Aquí encontrará otros sitios web útiles que le ayudarán a usted y a sus investigadores a publicar en acceso abierto con Wiley: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12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Publicar en acceso abierto con Wiley: información para instituciones y autores que cumplan los requisitos</w:t>
                                </w:r>
                              </w:hyperlink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Cómo enviar: Flujos de trabajo, guías e información para compartir con investigadores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Criterio de elegibilidad para ahorrar tiempo a los investigadores a la hora de enviar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hyperlink r:id="rId13" w:tgtFrame="_blank" w:history="1">
                                <w:r w:rsidRPr="00185F8C">
                                  <w:rPr>
                                    <w:rFonts w:ascii="Arial" w:eastAsia="Times New Roman" w:hAnsi="Arial" w:cs="Arial"/>
                                    <w:color w:val="1155CC"/>
                                    <w:sz w:val="21"/>
                                    <w:u w:val="single"/>
                                    <w:lang w:eastAsia="es-ES"/>
                                  </w:rPr>
                                  <w:t>Servicios Wiley para autores</w:t>
                                </w:r>
                              </w:hyperlink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Recursos para cada una de las etapas del trabajo de los autores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150" w:line="315" w:lineRule="atLeast"/>
                                <w:ind w:left="60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Sugerencias promocionales, herramientas, recursos y soluciones para que los investigadores puedan promocionar sus artículos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</w:p>
                            <w:p w:rsidR="00185F8C" w:rsidRPr="00185F8C" w:rsidRDefault="00185F8C" w:rsidP="00185F8C">
                              <w:pPr>
                                <w:spacing w:after="0" w:line="31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185F8C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s-ES"/>
                                </w:rPr>
                                <w:t>Si hay algo que podamos hacer desde el equipo de Wiley para ayudarle a dar a conocer este acuerdo o sobre cualquier otro aspecto del proceso de publicación con nosotros, no dude en contactarnos.</w:t>
                              </w:r>
                            </w:p>
                          </w:tc>
                        </w:tr>
                      </w:tbl>
                      <w:p w:rsidR="00185F8C" w:rsidRPr="00185F8C" w:rsidRDefault="00185F8C" w:rsidP="00185F8C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185F8C" w:rsidRPr="00185F8C" w:rsidRDefault="00185F8C" w:rsidP="00185F8C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185F8C" w:rsidRPr="00185F8C" w:rsidRDefault="00185F8C" w:rsidP="00185F8C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</w:tbl>
    <w:p w:rsidR="00185F8C" w:rsidRPr="00185F8C" w:rsidRDefault="00185F8C" w:rsidP="00185F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85F8C">
        <w:rPr>
          <w:rFonts w:ascii="Arial" w:eastAsia="Times New Roman" w:hAnsi="Arial" w:cs="Arial"/>
          <w:color w:val="000000"/>
          <w:sz w:val="21"/>
          <w:szCs w:val="21"/>
          <w:lang w:eastAsia="es-ES"/>
        </w:rPr>
        <w:lastRenderedPageBreak/>
        <w:t>Servicios de biblioteca Wiley para EMEA</w:t>
      </w:r>
    </w:p>
    <w:p w:rsidR="00185F8C" w:rsidRPr="00185F8C" w:rsidRDefault="00185F8C" w:rsidP="00185F8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14" w:tgtFrame="_blank" w:tooltip="libraryservicesEMEA@wiley.com" w:history="1">
        <w:r w:rsidRPr="00185F8C">
          <w:rPr>
            <w:rFonts w:ascii="Arial" w:eastAsia="Times New Roman" w:hAnsi="Arial" w:cs="Arial"/>
            <w:color w:val="1155CC"/>
            <w:sz w:val="21"/>
            <w:u w:val="single"/>
            <w:lang w:eastAsia="es-ES"/>
          </w:rPr>
          <w:t>libraryservicesEMEA@wiley.com</w:t>
        </w:r>
      </w:hyperlink>
    </w:p>
    <w:p w:rsidR="00185F8C" w:rsidRPr="00185F8C" w:rsidRDefault="00185F8C" w:rsidP="00185F8C">
      <w:pPr>
        <w:shd w:val="clear" w:color="auto" w:fill="FFFFFF"/>
        <w:spacing w:after="150" w:line="480" w:lineRule="atLeast"/>
        <w:outlineLvl w:val="1"/>
        <w:rPr>
          <w:rFonts w:ascii="Source Serif Pro" w:eastAsia="Times New Roman" w:hAnsi="Source Serif Pro" w:cs="Times New Roman"/>
          <w:b/>
          <w:bCs/>
          <w:color w:val="222222"/>
          <w:sz w:val="42"/>
          <w:szCs w:val="42"/>
          <w:lang w:eastAsia="es-ES"/>
        </w:rPr>
      </w:pPr>
    </w:p>
    <w:p w:rsidR="00892CFC" w:rsidRDefault="00892CFC"/>
    <w:sectPr w:rsidR="00892CFC" w:rsidSect="00892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5F8C"/>
    <w:rsid w:val="00185F8C"/>
    <w:rsid w:val="0089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FC"/>
  </w:style>
  <w:style w:type="paragraph" w:styleId="Ttulo2">
    <w:name w:val="heading 2"/>
    <w:basedOn w:val="Normal"/>
    <w:link w:val="Ttulo2Car"/>
    <w:uiPriority w:val="9"/>
    <w:qFormat/>
    <w:rsid w:val="00185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5F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85F8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85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47283&amp;elqTrackId=EF71660ACFCD7D37489B770088B3A7A8&amp;elq=c8315dbbe0804e3fba0807a155658111&amp;elqaid=52680&amp;elqat=1" TargetMode="External"/><Relationship Id="rId13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73356&amp;elqTrackId=FF3E92E5A74952E46A87601D1D76C76B&amp;elq=c8315dbbe0804e3fba0807a155658111&amp;elqaid=52680&amp;elqat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47290&amp;elqTrackId=D19DB982A795AF6E362E7C296ECE5557&amp;elq=c8315dbbe0804e3fba0807a155658111&amp;elqaid=52680&amp;elqat=1" TargetMode="External"/><Relationship Id="rId12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47280&amp;elqTrackId=52C23DB3F66E7BF050811C5A372DFBA4&amp;elq=c8315dbbe0804e3fba0807a155658111&amp;elqaid=52680&amp;elqat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06720&amp;elqTrackId=CECC67CD7C12022DC7F88EFEB2B57471&amp;elq=c8315dbbe0804e3fba0807a155658111&amp;elqaid=52680&amp;elqat=1" TargetMode="External"/><Relationship Id="rId11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14607&amp;elqTrackId=4B73E162AF9473AEE55F8B55EA2233BA&amp;elq=c8315dbbe0804e3fba0807a155658111&amp;elqaid=52680&amp;elqat=1" TargetMode="External"/><Relationship Id="rId5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47281&amp;elqTrackId=64782A534AC8499377490876FCDC325B&amp;elq=c8315dbbe0804e3fba0807a155658111&amp;elqaid=52680&amp;elqat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47292&amp;elqTrackId=45F60339F235C540CBDAF86AEA1BC386&amp;elq=c8315dbbe0804e3fba0807a155658111&amp;elqaid=52680&amp;elqat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pp.secure.wiley.com/e/er?elq_mid=52680&amp;elq_cid=29541306&amp;elqCampaignId=33201&amp;utm_campaign=33201&amp;utm_source=eloquaEmail&amp;utm_medium=email&amp;utm_content=EM1_Spain%20Librarian%20Comms_RM-FMEMEA_Spain-OA-Comms_R3524RM&amp;s=1133198723&amp;lid=247291&amp;elqTrackId=905D3FF27ED0B8A95C86545A73546209&amp;elq=c8315dbbe0804e3fba0807a155658111&amp;elqaid=52680&amp;elqat=1" TargetMode="External"/><Relationship Id="rId14" Type="http://schemas.openxmlformats.org/officeDocument/2006/relationships/hyperlink" Target="mailto:libraryservicesEMEA@wile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945</Words>
  <Characters>5198</Characters>
  <Application>Microsoft Office Word</Application>
  <DocSecurity>0</DocSecurity>
  <Lines>43</Lines>
  <Paragraphs>12</Paragraphs>
  <ScaleCrop>false</ScaleCrop>
  <Company> 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2021-05-05T22:15:00Z</dcterms:created>
  <dcterms:modified xsi:type="dcterms:W3CDTF">2021-05-05T22:18:00Z</dcterms:modified>
</cp:coreProperties>
</file>